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A" w:rsidRDefault="001F6FCC" w:rsidP="001F6FCC">
      <w:pPr>
        <w:ind w:left="0" w:right="-238"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1985" cy="89281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10206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E50CA" w:rsidTr="001F6FCC">
        <w:trPr>
          <w:trHeight w:val="1182"/>
        </w:trPr>
        <w:tc>
          <w:tcPr>
            <w:tcW w:w="10206" w:type="dxa"/>
            <w:tcBorders>
              <w:bottom w:val="single" w:sz="24" w:space="0" w:color="000000"/>
            </w:tcBorders>
            <w:shd w:val="clear" w:color="auto" w:fill="auto"/>
          </w:tcPr>
          <w:p w:rsidR="009E50CA" w:rsidRPr="001F6FCC" w:rsidRDefault="009F70FD" w:rsidP="001F6FCC">
            <w:pPr>
              <w:ind w:left="0" w:right="-239" w:firstLine="0"/>
              <w:jc w:val="center"/>
              <w:rPr>
                <w:b/>
                <w:smallCaps/>
                <w:sz w:val="24"/>
                <w:szCs w:val="24"/>
              </w:rPr>
            </w:pPr>
            <w:r w:rsidRPr="001F6FCC">
              <w:rPr>
                <w:b/>
                <w:smallCaps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9E50CA" w:rsidRPr="001F6FCC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F6FCC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9E50CA" w:rsidRPr="001F6FCC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1F6FCC">
              <w:rPr>
                <w:b/>
                <w:sz w:val="24"/>
                <w:szCs w:val="24"/>
              </w:rPr>
              <w:t>высшего образования</w:t>
            </w:r>
          </w:p>
          <w:p w:rsidR="009E50CA" w:rsidRPr="001F6FCC" w:rsidRDefault="009F70FD" w:rsidP="001F6FCC">
            <w:pPr>
              <w:keepNext/>
              <w:ind w:left="0" w:right="-806" w:firstLine="0"/>
              <w:jc w:val="center"/>
              <w:rPr>
                <w:b/>
                <w:sz w:val="24"/>
                <w:szCs w:val="24"/>
              </w:rPr>
            </w:pPr>
            <w:r w:rsidRPr="001F6FCC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9E50CA" w:rsidRDefault="009F70FD">
            <w:pPr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1F6FCC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9E50CA" w:rsidRDefault="009E50CA">
      <w:pPr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Pr="001F6FCC" w:rsidRDefault="001F6FCC" w:rsidP="001F6FCC">
      <w:pPr>
        <w:spacing w:after="0" w:line="360" w:lineRule="auto"/>
        <w:ind w:left="0" w:right="0" w:firstLine="709"/>
        <w:jc w:val="right"/>
        <w:rPr>
          <w:b/>
          <w:sz w:val="28"/>
          <w:szCs w:val="28"/>
        </w:rPr>
      </w:pPr>
      <w:proofErr w:type="gramStart"/>
      <w:r w:rsidRPr="001F6FCC">
        <w:rPr>
          <w:b/>
          <w:sz w:val="28"/>
          <w:szCs w:val="28"/>
        </w:rPr>
        <w:t>П</w:t>
      </w:r>
      <w:proofErr w:type="gramEnd"/>
      <w:r w:rsidRPr="001F6FCC">
        <w:rPr>
          <w:b/>
          <w:sz w:val="28"/>
          <w:szCs w:val="28"/>
        </w:rPr>
        <w:t xml:space="preserve"> Р О Е К Т</w:t>
      </w:r>
      <w:r w:rsidR="009F70FD" w:rsidRPr="001F6FCC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9E50CA" w:rsidRDefault="009E50CA">
      <w:pPr>
        <w:pStyle w:val="1"/>
        <w:spacing w:after="0" w:line="360" w:lineRule="auto"/>
        <w:ind w:right="0" w:firstLine="709"/>
        <w:rPr>
          <w:sz w:val="28"/>
          <w:szCs w:val="28"/>
        </w:rPr>
      </w:pPr>
    </w:p>
    <w:p w:rsidR="009E50CA" w:rsidRDefault="009E50CA">
      <w:pPr>
        <w:pStyle w:val="1"/>
        <w:spacing w:after="0" w:line="360" w:lineRule="auto"/>
        <w:ind w:right="0" w:firstLine="709"/>
        <w:rPr>
          <w:sz w:val="28"/>
          <w:szCs w:val="28"/>
        </w:rPr>
      </w:pPr>
    </w:p>
    <w:p w:rsidR="009E50CA" w:rsidRDefault="009E50CA">
      <w:pPr>
        <w:pStyle w:val="1"/>
        <w:spacing w:after="0" w:line="360" w:lineRule="auto"/>
        <w:ind w:right="0" w:firstLine="709"/>
        <w:rPr>
          <w:sz w:val="28"/>
          <w:szCs w:val="28"/>
        </w:rPr>
      </w:pPr>
    </w:p>
    <w:p w:rsidR="009E50CA" w:rsidRDefault="009E50CA">
      <w:pPr>
        <w:pStyle w:val="1"/>
        <w:spacing w:after="0" w:line="360" w:lineRule="auto"/>
        <w:ind w:right="0" w:firstLine="709"/>
        <w:rPr>
          <w:sz w:val="28"/>
          <w:szCs w:val="28"/>
        </w:rPr>
      </w:pPr>
    </w:p>
    <w:p w:rsidR="009E50CA" w:rsidRDefault="009F70FD">
      <w:pPr>
        <w:pStyle w:val="1"/>
        <w:spacing w:after="0" w:line="360" w:lineRule="auto"/>
        <w:ind w:right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кейсов работодателей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«HR РОСТ»</w:t>
      </w: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1F6FCC" w:rsidRDefault="001F6FCC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>
        <w:br w:type="page"/>
      </w: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1.1. Настоящее Положение (далее – Положение) регламентирует порядок организации и проведения Конкурса кейсов работодателей «HR РОСТ»  (далее – Конкурс).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1.2. Конкурс является проектом, реализуемым УрГЭУ совместно с профессиональными сообществами: клубом работодателей «HR-</w:t>
      </w:r>
      <w:proofErr w:type="spellStart"/>
      <w:r>
        <w:rPr>
          <w:sz w:val="28"/>
          <w:szCs w:val="28"/>
        </w:rPr>
        <w:t>mnenie</w:t>
      </w:r>
      <w:proofErr w:type="spellEnd"/>
      <w:r>
        <w:rPr>
          <w:sz w:val="28"/>
          <w:szCs w:val="28"/>
        </w:rPr>
        <w:t>» и СРОО «Ассоциация руководителей и специалистов по управлению человеческими ресурсами»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рамках Конгресса </w:t>
      </w:r>
      <w:proofErr w:type="spellStart"/>
      <w:r>
        <w:rPr>
          <w:sz w:val="28"/>
          <w:szCs w:val="28"/>
        </w:rPr>
        <w:t>инноваторов</w:t>
      </w:r>
      <w:proofErr w:type="spellEnd"/>
      <w:r>
        <w:rPr>
          <w:sz w:val="28"/>
          <w:szCs w:val="28"/>
        </w:rPr>
        <w:t xml:space="preserve"> Евразийского экономического форума молодежи (далее ЕЭФМ). Интернет-адрес сайта ЕЭФМ www.eurasia-forum.ru.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1.З. Организаторы Конкурса: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кафедра экономики труда и управления персоналом ФГБОУ ВО «Уральский государственный экономический университет» (УрГЭУ),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клуб работодателей «HR-</w:t>
      </w:r>
      <w:proofErr w:type="spellStart"/>
      <w:r>
        <w:rPr>
          <w:sz w:val="28"/>
          <w:szCs w:val="28"/>
        </w:rPr>
        <w:t>mnenie</w:t>
      </w:r>
      <w:proofErr w:type="spellEnd"/>
      <w:r>
        <w:rPr>
          <w:sz w:val="28"/>
          <w:szCs w:val="28"/>
        </w:rPr>
        <w:t>»,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- СРОО «Ассоциация руководителей и специалистов по управлению человеческими ресурсами».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1.4. Партнеры Конкурса:</w:t>
      </w:r>
    </w:p>
    <w:p w:rsidR="009E50CA" w:rsidRDefault="00182EEB" w:rsidP="00182EEB">
      <w:pPr>
        <w:tabs>
          <w:tab w:val="left" w:pos="-5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9F70FD">
        <w:rPr>
          <w:sz w:val="28"/>
          <w:szCs w:val="28"/>
        </w:rPr>
        <w:t xml:space="preserve"> Совет по профессиональным квалификациям в области управления персоналом,</w:t>
      </w:r>
    </w:p>
    <w:p w:rsidR="009E50CA" w:rsidRDefault="009F70F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Институт экономики Уральского отделения Российской академии наук (Институт экономики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ро РАН),</w:t>
      </w:r>
    </w:p>
    <w:p w:rsidR="009E50CA" w:rsidRDefault="009F70F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Уральское отделение Вольного экономического общества России,</w:t>
      </w:r>
    </w:p>
    <w:p w:rsidR="009E50CA" w:rsidRDefault="009F70F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РОО «Свердловский областной союз промышленников и предпринимателей», </w:t>
      </w:r>
    </w:p>
    <w:p w:rsidR="009E50CA" w:rsidRDefault="009F70F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предприятия и организации, представители которых входят в состав клуба работодателей «HR-</w:t>
      </w:r>
      <w:proofErr w:type="spellStart"/>
      <w:r>
        <w:rPr>
          <w:sz w:val="28"/>
          <w:szCs w:val="28"/>
        </w:rPr>
        <w:t>mnenie</w:t>
      </w:r>
      <w:proofErr w:type="spellEnd"/>
      <w:r>
        <w:rPr>
          <w:sz w:val="28"/>
          <w:szCs w:val="28"/>
        </w:rPr>
        <w:t>», а также СРОО «АРС УЧР».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1.5. Целью конкурса является создание инструмента для повышения качества взаимодействия перспективных HR специалистов и их будущих работодателей. </w:t>
      </w: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 Направления Конкурса</w:t>
      </w:r>
    </w:p>
    <w:p w:rsidR="009E50CA" w:rsidRDefault="009F70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 направлен на развитие профессиональных компетенций у молодых специалистов, а также содействие в поиске молодым HR своих будущих нанимателей из числа самых перспективных компаний. </w:t>
      </w:r>
    </w:p>
    <w:p w:rsidR="009E50CA" w:rsidRDefault="009F70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Работодателями-партнерами конкурса, будут предложены кейсы, тематики которых направлены на решение прикладных задач в области управления </w:t>
      </w:r>
      <w:r>
        <w:rPr>
          <w:sz w:val="28"/>
          <w:szCs w:val="28"/>
        </w:rPr>
        <w:lastRenderedPageBreak/>
        <w:t>человеческими ресурсами и экономики труда, в том числе по направлениям: современные технологии в подборе персонала, адаптация персонала, создание системы стимулирования, повышение эффективности персонала, оптимизация затрат на персонал, формирование внутрикорпоративных коммуникаций, организация работы с талантами и др.</w:t>
      </w:r>
    </w:p>
    <w:p w:rsidR="009E50CA" w:rsidRDefault="009E50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З. Условия участия в Конкурсе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3.1. К участию в Конкурсе приглашаются студенты, аспиранты, молодые HR-специалисты предприятий и организаций в возрасте до 35 лет (далее — Участники).</w:t>
      </w:r>
    </w:p>
    <w:p w:rsidR="009E50CA" w:rsidRDefault="009F70FD">
      <w:pPr>
        <w:tabs>
          <w:tab w:val="left" w:pos="1276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3.2. Решения кейсов на Конкурс направляются от индивидуальных авторов.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3.3. Один участник имеет право представить на Конкурс только одну работу.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3.4. Организационный взнос для участия в конкурсе не предусмотрен. Расходы по проживанию иногородних участников, питанию и транспортные расходы для участия в очном этапе конкурса оплачиваются участниками самостоятельно, либо командирующими организациями.</w:t>
      </w: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Этапы и сроки проведения Конкурса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4.1. Окончательные сроки проведения Конкурса, а также его основных этапов устанавливаются приказом ректора ФГБОУ ВО «Уральский государственный экономический университет» и размещаются на странице Конкурса сайта ЕЭФМ.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 Конкурс проводится в три этапа.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4.2.1. Первый этап: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4.2.1.1. Регистрация заявки для участия в конкурсе.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4.2.1.2. Направление кейса участнику конкурса, прошедшему регистрацию.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4.2.1.3. Прием и регистрация конкурсных работ (решений кейсов); проверка работ на соответствие требованиям, выдвигаемым к работам.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Первый этап проводится оргкомитетом Конкурса в сроки, установленные дирекцией Евразийского экономического форума молодежи.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4.2.2. Второй этап – (отборочный) экспертиза конкурсных работ (решений кейсов), зарегистрированных и допущенных к Конкурсу по итогам первого этапа; определение финалистов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Экспертиза конкурсных работ проводится экспертной комиссией Конкурса, формируются списки Участников, прошедших в финал Конкурса. Списки финалистов публикуются на странице Конкурса сайта ЕЭФМ. Осуществляется рассылка информационных писем конкурсантам о выходе в финальный тур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Авторы 15 лучших работ (возможно расширение списка финалистов по решению экспертной комиссии) приглашаются для очной защиты решения кейса и участия в финальных мероприятиях ЕЭФМ. В случае невозможности участия в очном формате, по согласованию с Оргкомитетом конкурса, возможен дистанционный формат защиты.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4.2.3. Третий этап – (заключительный) защита конкурсных работ (решений кейсов) финалистов; определение победителей и призеров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Третий этап проводится между финалистами Конкурса путем очной публичной защиты конкурсных работ.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4.3. По итогам Конкурса издается сборник тезисов работ финалистов (по желанию участников конкурса и при наличии тезисов работ). Сборник издается в виде соответствующей главы ежегодного сборника материалов ЕЭФМ в срок не позднее 3-х месяцев после проведения Конкурса. Сборник материалов ЕЭФМ размещается в РИНЦ и на сайтах УрГЭУ и ЕЭФМ.</w:t>
      </w: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 w:rsidP="00182E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представляемой документации и правила оформления конкурсных работ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5.1. Работы представляются в оргкомитет Конкурса в электронном виде через специальную регистрационную форму на сайте ЕЭФМ </w:t>
      </w:r>
      <w:hyperlink r:id="rId10">
        <w:r>
          <w:rPr>
            <w:color w:val="0000FF"/>
            <w:sz w:val="28"/>
            <w:szCs w:val="28"/>
          </w:rPr>
          <w:t>www.eurasia-forum.ru</w:t>
        </w:r>
      </w:hyperlink>
      <w:r>
        <w:rPr>
          <w:sz w:val="28"/>
          <w:szCs w:val="28"/>
        </w:rPr>
        <w:t xml:space="preserve">.  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5.2. Для участия в Конкурсе должен быть представлен следующий пакет документов:</w:t>
      </w:r>
    </w:p>
    <w:p w:rsidR="009E50CA" w:rsidRDefault="009F70F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заявление автора об участии в Конкурсе (приложение 1) — представляется путем заполнения регистрационной формы участника на сайте ЕЭФМ;</w:t>
      </w:r>
    </w:p>
    <w:p w:rsidR="009E50CA" w:rsidRDefault="009F70F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конкурсная работа (с титульным листом, согласно приложения 2) прикрепляется отдельным файлом к регистрационной форме участника;</w:t>
      </w:r>
    </w:p>
    <w:p w:rsidR="009E50CA" w:rsidRDefault="009F70FD">
      <w:p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З) тезисы работы, отражающие основные положения и результаты работы, прикрепляется вторым файлом к регистрационной форме участника (по желанию).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5.3. Все документы представляются единым пакетом в срок, указанный на сайте ЕЭФМ.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5.4. Конкурсная работа должна соответствовать следующим требованиям:</w:t>
      </w:r>
    </w:p>
    <w:p w:rsidR="009E50CA" w:rsidRDefault="009F70F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работа должна содержать  решение конкретного кейса, отвечающего критериям, описанным в разделе 6 Положения);</w:t>
      </w:r>
    </w:p>
    <w:p w:rsidR="009E50CA" w:rsidRDefault="009F70F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рекомендуется наличие справочного материала: ссылки на источники, из которых использованы цитаты, цифровые данные в тексте, таблицы, графики, диаграммы;</w:t>
      </w:r>
    </w:p>
    <w:p w:rsidR="009E50CA" w:rsidRDefault="009F70F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работа должна быть оформлена следующим образом: файл в формате *.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 или *.</w:t>
      </w:r>
      <w:proofErr w:type="spellStart"/>
      <w:r>
        <w:rPr>
          <w:sz w:val="28"/>
          <w:szCs w:val="28"/>
        </w:rPr>
        <w:t>rtf</w:t>
      </w:r>
      <w:proofErr w:type="spellEnd"/>
      <w:r>
        <w:rPr>
          <w:sz w:val="28"/>
          <w:szCs w:val="28"/>
        </w:rPr>
        <w:t xml:space="preserve">, в названии файла должна быть указана фамилия автора.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– 14 </w:t>
      </w:r>
      <w:proofErr w:type="spellStart"/>
      <w:r>
        <w:rPr>
          <w:sz w:val="28"/>
          <w:szCs w:val="28"/>
        </w:rPr>
        <w:t>дт</w:t>
      </w:r>
      <w:proofErr w:type="spellEnd"/>
      <w:r>
        <w:rPr>
          <w:sz w:val="28"/>
          <w:szCs w:val="28"/>
        </w:rPr>
        <w:t xml:space="preserve">, межстрочный интервал 1,5. Все поля 20 мм. Текст выровнен по ширине без расстановки переносов. Все диаграммы и таблицы должны быть вставлены в текст. Абзацный отступ – 1,25. Ориентация листа – книжная.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Типовая структура работы: введение; решение кейса; заключение и список использованной литературы.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5.5. К работе (решению кейса) могут быть оформлены тезисы, отражающие общую идею работы. Тезисы оформляются следующим образом: межстрочный интервал 1,5 на листах формата А4,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–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, поля – 20 мм с каждой стороны. Объем тезисов – не более 4-х страниц. В структуре работы обязательно должны быть: аннотация (не менее 4 строк), введение (отражающее основные цели, задачи, актуальность и теоретическое обоснование работы), основная часть (может быть разбита на подпункты), заключение (выводы, обсуждение, планы будущих исследований).</w:t>
      </w: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проведения Конкурса и критерии оценки работ</w:t>
      </w:r>
    </w:p>
    <w:p w:rsidR="009E50CA" w:rsidRDefault="009F70FD">
      <w:pPr>
        <w:numPr>
          <w:ilvl w:val="1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 первом этапе Конкурса оргкомитет осуществляет допуск работ (решений кейсов) для дальнейшей экспертной оценки по требованиям, указанным в разделе 5 Положения.</w:t>
      </w:r>
    </w:p>
    <w:p w:rsidR="009E50CA" w:rsidRDefault="009F70FD">
      <w:pPr>
        <w:numPr>
          <w:ilvl w:val="1"/>
          <w:numId w:val="6"/>
        </w:num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Во время второго (отборочного) этапа члены экспертной комиссии Конкурса проводят экспертизу конкурсных работ участников и определяют 15 (пятнадцать) финалистов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Конкурсная работа на втором (отборочном) этапе должна отвечать следующим основным критериям:</w:t>
      </w:r>
    </w:p>
    <w:p w:rsidR="009E50CA" w:rsidRDefault="009F70F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логичность и грамотность изложения; </w:t>
      </w:r>
    </w:p>
    <w:p w:rsidR="009E50CA" w:rsidRDefault="009F70F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экономическая обоснованность предложенных решений (части предложенных решений); </w:t>
      </w:r>
    </w:p>
    <w:p w:rsidR="009E50CA" w:rsidRDefault="009F70FD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практическая значимость результатов исследования, возможность внедрения предложенного решения, применимость для реального бизнеса.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Списки финалистов публикуются на странице Конкурса. Информационные письма о выходе в финал направляются участникам-финалистам.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6.3. Критерии оценки участников во время очной защиты работы на третьем (заключительном) этапе:</w:t>
      </w:r>
    </w:p>
    <w:p w:rsidR="009E50CA" w:rsidRDefault="009F70FD">
      <w:pPr>
        <w:numPr>
          <w:ilvl w:val="0"/>
          <w:numId w:val="8"/>
        </w:numPr>
        <w:tabs>
          <w:tab w:val="left" w:pos="1134"/>
        </w:tabs>
        <w:spacing w:after="0" w:line="360" w:lineRule="auto"/>
        <w:ind w:right="0"/>
      </w:pPr>
      <w:r>
        <w:rPr>
          <w:sz w:val="28"/>
          <w:szCs w:val="28"/>
        </w:rPr>
        <w:t>решение кейса должно:</w:t>
      </w:r>
    </w:p>
    <w:p w:rsidR="009E50CA" w:rsidRDefault="009F70FD">
      <w:pPr>
        <w:tabs>
          <w:tab w:val="left" w:pos="1134"/>
        </w:tabs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содержать поэтапное описание процесса решения поставленной задачи со сроками и задействованными ресурсами. Описание ресурсов допускается </w:t>
      </w:r>
      <w:r>
        <w:rPr>
          <w:sz w:val="28"/>
          <w:szCs w:val="28"/>
        </w:rPr>
        <w:lastRenderedPageBreak/>
        <w:t>условное, но должны быть представлены расчеты, обосновывающие объем необходимых ресурсов, по мнению участника конкурса;</w:t>
      </w:r>
    </w:p>
    <w:p w:rsidR="009E50CA" w:rsidRDefault="009F70FD">
      <w:pPr>
        <w:tabs>
          <w:tab w:val="left" w:pos="1134"/>
        </w:tabs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включать в себя аргументы, необходимые для защиты проекта перед экспертной комиссией, и работу с рисками проекта, в том числе, описание слабых мест, возможных контраргументов и ответов на них; </w:t>
      </w:r>
    </w:p>
    <w:p w:rsidR="009E50CA" w:rsidRDefault="009F70FD">
      <w:pPr>
        <w:tabs>
          <w:tab w:val="left" w:pos="1134"/>
        </w:tabs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использовать аналитические подходы при подготовке решения, в том числе, </w:t>
      </w:r>
      <w:proofErr w:type="spellStart"/>
      <w:r>
        <w:rPr>
          <w:sz w:val="28"/>
          <w:szCs w:val="28"/>
        </w:rPr>
        <w:t>бенчмаркинг</w:t>
      </w:r>
      <w:proofErr w:type="spellEnd"/>
      <w:r>
        <w:rPr>
          <w:sz w:val="28"/>
          <w:szCs w:val="28"/>
        </w:rPr>
        <w:t>-подход, основанный на сопоставлении предложенного решения с решением аналогичных задач в реальном бизнесе.</w:t>
      </w:r>
    </w:p>
    <w:p w:rsidR="009E50CA" w:rsidRDefault="009F70FD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Также в ходе очной защиты проекта экспертная комиссией будет учитываться качество представленной презентации и непосредственная защита конкурсанта (ответы на вопросы экспертов).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6.4. Если у победителей и призеров Конкурса количество набранных баллов одинаковое (равное), решение по определению победителей и призеров остается за экспертной комиссией Конкурса.</w:t>
      </w: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 Управление Конкурсом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7.1. Управление Конкурсом осуществляется дирекцией ЕЭФМ и оргкомитетом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 Для организации и проведения конкурса формируется оргкомитет, утверждаемый приказом ректора УрГЭУ. В состав оргкомитета входят: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председатель оргкомитета ЕЭФМ;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сопредседатель оргкомитета ЕЭФМ;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научный руководитель Конкурса;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координатор(ы) Конкурса;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и члены экспертной комиссии Конкурса; 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представители организаций - партнеров Конкурса,</w:t>
      </w:r>
    </w:p>
    <w:p w:rsidR="009E50CA" w:rsidRDefault="009F70F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секретарь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7.2.1. Председатель оргкомитета: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организацией и проведением мероприятий ЕЭФМ.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7.2.3. Сопредседатель оргкомитета: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осуществляет непосредственное руководство организацией и проведением ЕЭФМ, в рамках которого проводится Конкурс, совместно с научным руководителем Конкурса, формирует состав экспертной комиссии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7.3. Для проведения экспертизы работ создается экспертная комиссия Конкурса. Председателем экспертной комиссии является директор Конгресса ЕЭФМ, в котором проходит конкурс. В состав экспертной комиссии входят высококвалифицированные ведущие специалисты из числа организаторов ЕЭФМ, а также приглашенные эксперты. Более половины членов экспертной комиссии должны быть представителями сторонних организаций. Решения экспертной комиссии протоколируются, протоколы подписываются председателем, секретарем и членами экспертной комиссии (приложения 3, 4).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7.4. Научный руководитель Конкурса: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готовит проект Положения о Конкурсе, готовит изменения и дополнения к нему;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является сопредседателем экспертной комиссии Конкурса; </w:t>
      </w:r>
      <w:r>
        <w:rPr>
          <w:noProof/>
          <w:sz w:val="28"/>
          <w:szCs w:val="28"/>
        </w:rPr>
        <w:drawing>
          <wp:inline distT="0" distB="0" distL="0" distR="0">
            <wp:extent cx="81915" cy="21590"/>
            <wp:effectExtent l="0" t="0" r="0" b="0"/>
            <wp:docPr id="6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21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подбирает состав экспертной комиссии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7.5. Координатор Конкурса, совместно со своим помощником и рабочей группой: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обеспечивает приглашение членов экспертной комиссии Конкурса;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" cy="3810"/>
            <wp:effectExtent l="0" t="0" r="0" b="0"/>
            <wp:docPr id="6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рассылает информационные письма о Конкурсе в вузы РФ и других стран, не позднее, чем за 2 месяца до проведения заключительного этапа; 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организует регистрацию и проверку поступивших работ по установленным требованиям,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направляет работы членам экспертной комиссии для оценки;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рассылает информационные письма, уведомляющие о выходе участников в третий тур Конкурса, не позднее чем за 10 дней до проведения заключительного этапа;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организует проведение финала и работу экспертной комиссии Конкурса; 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организует оформление дипломов, грамот и награждение победителей и призеров Конкурса;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организует сбор тезисов финалистов Конкурса и передачу их в Издательство УрГЭУ для включения в сборник материалов ЕЭФМ; 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организует сбор документов, необходимых для перечисления денежных призов победителям и призерам Конкурса;</w:t>
      </w:r>
    </w:p>
    <w:p w:rsidR="009E50CA" w:rsidRDefault="009F70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составляет отчет о проведении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7.6. Научный руководитель, координатор, а также члены экспертной комиссии Конкурса ежегодно публикуются на странице Конкурса сайта ЕЭФМ.</w:t>
      </w:r>
    </w:p>
    <w:p w:rsidR="00182EEB" w:rsidRDefault="00182EEB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8. Награждение победителей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8.1. По итогам очной защиты работ определяются победители и призеры Конкурса, они награждаются Дипломами I, II, III степени и орденами за 1 и З место соответственно.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4 и 5 места в Конкурсе награждаются</w:t>
      </w:r>
      <w:proofErr w:type="gramEnd"/>
      <w:r>
        <w:rPr>
          <w:sz w:val="28"/>
          <w:szCs w:val="28"/>
        </w:rPr>
        <w:t xml:space="preserve"> Грамотами за 4 и 5 места соответственно. Все участники третьего этапа — публичной защиты проектов — получают сертификаты финалистов Конкурса. Участники, предоставившие решения, но не прошедшие на третий этап по результатам экспертной оценки, — электронный сертификат участника.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8.2. Победители и призеры Конкурса награждаются денежными призами в рамках призового фонда Конкурса, установленного на основании приказа ректора УрГЭУ и в соответствии с протоколом экспертной комиссии Конкурса.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Денежные призы (с учетом уплаты подоходного налога) перечисляются организатором Конкурса в течение 1,5 месяцев на лицевые счета победителей и призеров по реквизитам, предоставленным координатору Конкурса, а также при своевременном предоставлении копий других запрашиваемых документов. Денежные призы зарубежным участникам выдаются в кассе УРГЭУ в день награждения.</w:t>
      </w: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9. Координаты оргкомитета Конкурса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Организатор конкурса: ФГБОУ ВО «Уральский государственный экономический университет» (УрГЭУ)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Адрес: 620144. г. Екатеринбург, ул. 8 Марта/Народной воли, 62/45 тел.: (343) 283-13-28; (343) 283-11-07; (343) 283-11-11, факс: (343) 283-13-25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организатора: </w:t>
      </w:r>
      <w:r>
        <w:rPr>
          <w:sz w:val="28"/>
          <w:szCs w:val="28"/>
          <w:u w:val="single"/>
        </w:rPr>
        <w:t>www.usue.ru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Конкурса и Евразийского экономического форума молодежи (ЕЭФМ): www.eurasia-forum.ru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Подразделение УрГЭУ, ответственное за проведение Конкурса: кафедра экономики труда и управления персоналом.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Контактные данные координаторов Конкурса указываются на странице Конкурса сайта ЕЭФМ.</w:t>
      </w:r>
      <w:r>
        <w:br w:type="page"/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Конкурса кейсов от работодателей «HR РОСТ»</w:t>
      </w:r>
    </w:p>
    <w:p w:rsidR="009E50CA" w:rsidRDefault="009E50CA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Прошу принять мою работу к участию в Конкурса кейсов от работодателей «HR РОСТ». Сообщаю о себе следующие данные:</w:t>
      </w:r>
    </w:p>
    <w:tbl>
      <w:tblPr>
        <w:tblStyle w:val="ac"/>
        <w:tblW w:w="994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309"/>
        <w:gridCol w:w="5208"/>
        <w:gridCol w:w="2431"/>
      </w:tblGrid>
      <w:tr w:rsidR="009E50CA">
        <w:trPr>
          <w:trHeight w:val="318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 w:rsidR="009E50CA" w:rsidRDefault="009E50CA">
            <w:pPr>
              <w:ind w:left="0" w:right="0" w:hanging="42"/>
              <w:jc w:val="center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3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  <w:vAlign w:val="bottom"/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работы/учебы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Должность/группа, курс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6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почтовым индексом)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45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  <w:vAlign w:val="bottom"/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6"/>
        </w:trPr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7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14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1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9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 (организация)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28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  <w:vAlign w:val="bottom"/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  <w:tr w:rsidR="009E50CA">
        <w:trPr>
          <w:trHeight w:val="335"/>
        </w:trPr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F70FD">
            <w:pPr>
              <w:ind w:left="0" w:right="0" w:hanging="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79" w:type="dxa"/>
              <w:right w:w="1" w:type="dxa"/>
            </w:tcMar>
          </w:tcPr>
          <w:p w:rsidR="009E50CA" w:rsidRDefault="009E50CA">
            <w:pPr>
              <w:ind w:left="0" w:right="0" w:hanging="42"/>
              <w:jc w:val="left"/>
              <w:rPr>
                <w:sz w:val="28"/>
                <w:szCs w:val="28"/>
              </w:rPr>
            </w:pPr>
          </w:p>
        </w:tc>
      </w:tr>
    </w:tbl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9E50CA" w:rsidRDefault="009F70FD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* Заявление представляется в виде заполнения регистрационной формы участника на специализированном сайте ЕЭФМ. В случае если работа подготовлена коллективом авторов, один из авторов регистрируется как капитан команды и прикрепляет работу, остальные участники регистрируются как члены команды, без прикрепления работы.</w:t>
      </w:r>
      <w:r>
        <w:br w:type="page"/>
      </w: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кейсов работодателей </w:t>
      </w:r>
    </w:p>
    <w:p w:rsidR="009E50CA" w:rsidRDefault="009F70FD">
      <w:pPr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«HR РОСТ»</w:t>
      </w:r>
    </w:p>
    <w:p w:rsidR="009E50CA" w:rsidRDefault="009E50CA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</w:p>
    <w:p w:rsidR="009E50CA" w:rsidRDefault="009E50CA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кейса</w:t>
      </w: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Студент (аспирант, др.) _____группа, _____курс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Наименование вуза___________ 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Наименование должности\организации_______</w:t>
      </w:r>
    </w:p>
    <w:p w:rsidR="009E50CA" w:rsidRDefault="009F70FD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Научный </w:t>
      </w:r>
    </w:p>
    <w:p w:rsidR="009E50CA" w:rsidRDefault="009F70FD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руководитель (при наличии)________________</w:t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(Ф.И.О., ученая степень, должность)</w:t>
      </w: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</w:p>
    <w:p w:rsidR="009E50CA" w:rsidRDefault="00182EEB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20___</w:t>
      </w:r>
      <w:r w:rsidR="009F70FD">
        <w:br w:type="page"/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З</w:t>
      </w:r>
    </w:p>
    <w:p w:rsidR="009E50CA" w:rsidRDefault="009E50CA">
      <w:pPr>
        <w:spacing w:after="0" w:line="360" w:lineRule="auto"/>
        <w:ind w:left="0" w:right="0" w:firstLine="709"/>
        <w:jc w:val="right"/>
        <w:rPr>
          <w:sz w:val="10"/>
          <w:szCs w:val="10"/>
        </w:rPr>
      </w:pPr>
    </w:p>
    <w:p w:rsidR="009E50CA" w:rsidRDefault="009F70FD">
      <w:pPr>
        <w:pStyle w:val="2"/>
        <w:spacing w:after="0" w:line="36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ЭКСПЕРТНОЙ КОМИССИИ</w:t>
      </w:r>
    </w:p>
    <w:p w:rsidR="009E50CA" w:rsidRDefault="009E50CA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</w:p>
    <w:p w:rsidR="009E50CA" w:rsidRDefault="009F70FD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определении финалистов Конкурса кейсов работодателей </w:t>
      </w:r>
      <w:r>
        <w:rPr>
          <w:sz w:val="28"/>
          <w:szCs w:val="28"/>
        </w:rPr>
        <w:t>«HR РОСТ»</w:t>
      </w:r>
    </w:p>
    <w:p w:rsidR="009E50CA" w:rsidRDefault="009E50CA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№ _____________               г. Екатеринбург                            № ______________</w:t>
      </w:r>
    </w:p>
    <w:p w:rsidR="009E50CA" w:rsidRDefault="009E50CA">
      <w:pPr>
        <w:spacing w:after="0" w:line="360" w:lineRule="auto"/>
        <w:ind w:right="0"/>
        <w:jc w:val="left"/>
        <w:rPr>
          <w:sz w:val="10"/>
          <w:szCs w:val="10"/>
        </w:rPr>
      </w:pPr>
    </w:p>
    <w:p w:rsidR="009E50CA" w:rsidRDefault="009E50CA">
      <w:pPr>
        <w:spacing w:after="0" w:line="360" w:lineRule="auto"/>
        <w:ind w:left="0" w:right="0" w:firstLine="0"/>
        <w:jc w:val="left"/>
        <w:rPr>
          <w:b/>
          <w:sz w:val="28"/>
          <w:szCs w:val="28"/>
        </w:rPr>
      </w:pPr>
    </w:p>
    <w:p w:rsidR="009E50CA" w:rsidRDefault="009F70FD" w:rsidP="00182EEB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9E50CA" w:rsidRDefault="009F70FD" w:rsidP="00182EEB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должность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Сопредседатель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 должность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9E50CA" w:rsidRDefault="009F70FD">
      <w:pPr>
        <w:tabs>
          <w:tab w:val="center" w:pos="4958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Ф.И.О.                                               – должность </w:t>
      </w:r>
    </w:p>
    <w:p w:rsidR="009E50CA" w:rsidRDefault="009E50CA">
      <w:pPr>
        <w:spacing w:after="0" w:line="360" w:lineRule="auto"/>
        <w:ind w:left="0" w:right="0" w:hanging="142"/>
        <w:jc w:val="left"/>
        <w:rPr>
          <w:b/>
          <w:sz w:val="28"/>
          <w:szCs w:val="28"/>
        </w:rPr>
      </w:pPr>
    </w:p>
    <w:p w:rsidR="009E50CA" w:rsidRDefault="009F70FD" w:rsidP="00182EEB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Определение финалистов Конкурса кейсов работодателей «HR РОСТ» в рамках отборочного этапа.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 итогам первого этапа Конкурса кейсов работодателей «HR РОСТ» к экспертной оценке было допущено ______ работ участников.</w:t>
      </w:r>
    </w:p>
    <w:p w:rsidR="009E50CA" w:rsidRDefault="009E50CA">
      <w:pPr>
        <w:spacing w:after="0" w:line="360" w:lineRule="auto"/>
        <w:ind w:left="0" w:right="0" w:firstLine="709"/>
        <w:jc w:val="left"/>
        <w:rPr>
          <w:sz w:val="10"/>
          <w:szCs w:val="10"/>
        </w:rPr>
      </w:pPr>
    </w:p>
    <w:p w:rsidR="009E50CA" w:rsidRPr="00182EEB" w:rsidRDefault="009F70FD" w:rsidP="00182EEB">
      <w:pPr>
        <w:spacing w:after="0" w:line="360" w:lineRule="auto"/>
        <w:ind w:left="0"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Оценив представленные работы, комиссия решила вывести в финал</w:t>
      </w:r>
      <w:r>
        <w:rPr>
          <w:sz w:val="28"/>
          <w:szCs w:val="28"/>
        </w:rPr>
        <w:t xml:space="preserve"> </w:t>
      </w:r>
      <w:r w:rsidR="00182EEB" w:rsidRPr="00182EEB">
        <w:rPr>
          <w:b/>
          <w:sz w:val="28"/>
          <w:szCs w:val="28"/>
        </w:rPr>
        <w:t xml:space="preserve">следующих </w:t>
      </w:r>
      <w:r w:rsidRPr="00182EEB">
        <w:rPr>
          <w:b/>
          <w:sz w:val="28"/>
          <w:szCs w:val="28"/>
        </w:rPr>
        <w:t>участников:</w:t>
      </w:r>
    </w:p>
    <w:p w:rsidR="009E50CA" w:rsidRDefault="009F70FD">
      <w:pPr>
        <w:spacing w:after="0"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Таблица 1 –  Финалисты Конкурса</w:t>
      </w:r>
    </w:p>
    <w:tbl>
      <w:tblPr>
        <w:tblStyle w:val="ad"/>
        <w:tblW w:w="973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390"/>
        <w:gridCol w:w="2700"/>
        <w:gridCol w:w="6645"/>
      </w:tblGrid>
      <w:tr w:rsidR="009E50CA">
        <w:trPr>
          <w:trHeight w:val="55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ВУЗа, </w:t>
            </w:r>
          </w:p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9E50CA">
        <w:trPr>
          <w:trHeight w:val="4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" w:type="dxa"/>
              <w:right w:w="59" w:type="dxa"/>
            </w:tcMar>
            <w:vAlign w:val="bottom"/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</w:tbl>
    <w:p w:rsidR="009E50CA" w:rsidRDefault="009E50CA">
      <w:pPr>
        <w:spacing w:after="0" w:line="360" w:lineRule="auto"/>
        <w:ind w:left="0" w:right="0" w:firstLine="0"/>
        <w:rPr>
          <w:sz w:val="28"/>
          <w:szCs w:val="28"/>
        </w:rPr>
      </w:pPr>
    </w:p>
    <w:p w:rsidR="00182EEB" w:rsidRDefault="00182EEB">
      <w:pPr>
        <w:spacing w:after="0" w:line="360" w:lineRule="auto"/>
        <w:ind w:left="0" w:right="0" w:firstLine="0"/>
        <w:rPr>
          <w:sz w:val="28"/>
          <w:szCs w:val="28"/>
        </w:rPr>
      </w:pPr>
    </w:p>
    <w:tbl>
      <w:tblPr>
        <w:tblStyle w:val="ae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2126"/>
        <w:gridCol w:w="2835"/>
      </w:tblGrid>
      <w:tr w:rsidR="009E50CA">
        <w:trPr>
          <w:trHeight w:val="6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182EEB" w:rsidTr="00182EEB">
        <w:trPr>
          <w:trHeight w:val="14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182EEB" w:rsidRDefault="00182EEB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  <w:p w:rsidR="00182EEB" w:rsidRDefault="00182EEB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182EEB" w:rsidRDefault="00182EEB" w:rsidP="004D21FE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182EEB" w:rsidRDefault="00182EEB" w:rsidP="004D21FE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182EEB" w:rsidRDefault="00182EEB" w:rsidP="004D21FE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182EEB" w:rsidRDefault="00182EEB" w:rsidP="004D21FE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9E50CA">
        <w:trPr>
          <w:trHeight w:val="10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182EEB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F70FD">
              <w:rPr>
                <w:sz w:val="28"/>
                <w:szCs w:val="28"/>
              </w:rPr>
              <w:t>лен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9E50CA">
        <w:trPr>
          <w:trHeight w:val="3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</w:tbl>
    <w:p w:rsidR="009E50CA" w:rsidRDefault="009F70FD">
      <w:pPr>
        <w:rPr>
          <w:sz w:val="28"/>
          <w:szCs w:val="28"/>
        </w:rPr>
      </w:pPr>
      <w:r>
        <w:br w:type="page"/>
      </w:r>
    </w:p>
    <w:p w:rsidR="009E50CA" w:rsidRDefault="009F70FD">
      <w:pPr>
        <w:spacing w:after="0" w:line="360" w:lineRule="auto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E50CA" w:rsidRDefault="009F70FD">
      <w:pPr>
        <w:pStyle w:val="2"/>
        <w:spacing w:after="0"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ЭКСПЕРТНОЙ КОМИССИИ</w:t>
      </w:r>
    </w:p>
    <w:p w:rsidR="009E50CA" w:rsidRDefault="009F70FD">
      <w:pPr>
        <w:pStyle w:val="2"/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 определении победителей и призеров Конкурса кейсов работодателей «HR РОСТ»</w:t>
      </w:r>
    </w:p>
    <w:p w:rsidR="009E50CA" w:rsidRDefault="009E50CA"/>
    <w:p w:rsidR="009E50CA" w:rsidRDefault="00182EEB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70FD">
        <w:rPr>
          <w:sz w:val="28"/>
          <w:szCs w:val="28"/>
        </w:rPr>
        <w:t xml:space="preserve"> _____________               г. Екатеринбург                            № ______________</w:t>
      </w: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E50CA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</w:p>
    <w:p w:rsidR="009E50CA" w:rsidRDefault="009F70FD" w:rsidP="00182EEB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Председатель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должность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Сопредседатель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Ф.И.О.                                               –  должность 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Члены экспертной комиссии:</w:t>
      </w:r>
    </w:p>
    <w:p w:rsidR="009E50CA" w:rsidRDefault="009F70FD">
      <w:pPr>
        <w:tabs>
          <w:tab w:val="center" w:pos="4958"/>
        </w:tabs>
        <w:spacing w:after="0" w:line="360" w:lineRule="auto"/>
        <w:ind w:left="0" w:righ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Ф.И.О.                                               – должность </w:t>
      </w:r>
    </w:p>
    <w:p w:rsidR="009E50CA" w:rsidRDefault="009F70FD" w:rsidP="00182EEB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 экспертной комиссии: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призеров Конкурса кейсов работодателей «HR РОСТ» в рамках заключительного (финального) этапа.</w:t>
      </w:r>
    </w:p>
    <w:p w:rsidR="009E50CA" w:rsidRDefault="009F70FD">
      <w:pPr>
        <w:spacing w:after="0"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По итогам отборочного тура Конкурса кейсов работодателей «HR РОСТ» к финалу было допущено ________________ работ участников.</w:t>
      </w:r>
    </w:p>
    <w:p w:rsidR="009E50CA" w:rsidRDefault="009E50CA">
      <w:pPr>
        <w:spacing w:after="0" w:line="360" w:lineRule="auto"/>
        <w:ind w:left="0" w:right="0" w:firstLine="709"/>
        <w:rPr>
          <w:sz w:val="28"/>
          <w:szCs w:val="28"/>
        </w:rPr>
      </w:pPr>
    </w:p>
    <w:p w:rsidR="00182EEB" w:rsidRDefault="009F70FD" w:rsidP="00182EEB">
      <w:pPr>
        <w:spacing w:after="0" w:line="360" w:lineRule="auto"/>
        <w:ind w:left="0" w:righ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Оценив представленные работы, комиссия решила</w:t>
      </w:r>
      <w:r w:rsidR="00182EEB">
        <w:rPr>
          <w:b/>
          <w:sz w:val="28"/>
          <w:szCs w:val="28"/>
        </w:rPr>
        <w:t>:</w:t>
      </w:r>
    </w:p>
    <w:p w:rsidR="009E50CA" w:rsidRDefault="00182EEB" w:rsidP="00182EEB">
      <w:pPr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182EEB">
        <w:rPr>
          <w:sz w:val="28"/>
          <w:szCs w:val="28"/>
        </w:rPr>
        <w:t>1. П</w:t>
      </w:r>
      <w:r w:rsidR="009F70FD" w:rsidRPr="00182EEB">
        <w:rPr>
          <w:sz w:val="28"/>
          <w:szCs w:val="28"/>
        </w:rPr>
        <w:t>рисвоить</w:t>
      </w:r>
      <w:r w:rsidR="009F70FD">
        <w:rPr>
          <w:sz w:val="28"/>
          <w:szCs w:val="28"/>
        </w:rPr>
        <w:t xml:space="preserve"> следующие  наградные документы каждому конкурсанту заключительного (финального) Конкурса: </w:t>
      </w: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Таблица 1 – Наградные документы конкурсантов</w:t>
      </w:r>
    </w:p>
    <w:tbl>
      <w:tblPr>
        <w:tblStyle w:val="af"/>
        <w:tblW w:w="10024" w:type="dxa"/>
        <w:tblInd w:w="305" w:type="dxa"/>
        <w:tblLayout w:type="fixed"/>
        <w:tblLook w:val="0400" w:firstRow="0" w:lastRow="0" w:firstColumn="0" w:lastColumn="0" w:noHBand="0" w:noVBand="1"/>
      </w:tblPr>
      <w:tblGrid>
        <w:gridCol w:w="709"/>
        <w:gridCol w:w="2104"/>
        <w:gridCol w:w="3974"/>
        <w:gridCol w:w="3237"/>
      </w:tblGrid>
      <w:tr w:rsidR="009E50CA" w:rsidTr="00182EEB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F70FD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наградного документа, размер денежного приза</w:t>
            </w:r>
          </w:p>
        </w:tc>
      </w:tr>
      <w:tr w:rsidR="009E50CA" w:rsidTr="00182EEB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305" w:type="dxa"/>
              <w:right w:w="115" w:type="dxa"/>
            </w:tcMar>
          </w:tcPr>
          <w:p w:rsidR="009E50CA" w:rsidRDefault="009E50CA">
            <w:pPr>
              <w:spacing w:line="360" w:lineRule="auto"/>
              <w:ind w:left="0" w:right="0" w:firstLine="709"/>
              <w:jc w:val="left"/>
              <w:rPr>
                <w:sz w:val="28"/>
                <w:szCs w:val="28"/>
              </w:rPr>
            </w:pPr>
          </w:p>
        </w:tc>
      </w:tr>
    </w:tbl>
    <w:p w:rsidR="009E50CA" w:rsidRDefault="009E5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rPr>
          <w:sz w:val="28"/>
          <w:szCs w:val="28"/>
        </w:rPr>
      </w:pPr>
    </w:p>
    <w:p w:rsidR="009E50CA" w:rsidRPr="00182EEB" w:rsidRDefault="009F70FD" w:rsidP="00182EEB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center"/>
        <w:rPr>
          <w:sz w:val="28"/>
          <w:szCs w:val="28"/>
        </w:rPr>
      </w:pPr>
      <w:r w:rsidRPr="00182EEB">
        <w:rPr>
          <w:sz w:val="28"/>
          <w:szCs w:val="28"/>
        </w:rPr>
        <w:t>Признать победителем</w:t>
      </w:r>
    </w:p>
    <w:p w:rsidR="009E50CA" w:rsidRDefault="009F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кейсов работодателей «HR РОСТ» </w:t>
      </w:r>
    </w:p>
    <w:p w:rsidR="009E50CA" w:rsidRDefault="009E5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9E50CA" w:rsidRDefault="009E50CA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F16E02" w:rsidRDefault="00F16E02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</w:p>
    <w:p w:rsidR="009E50CA" w:rsidRPr="00F16E02" w:rsidRDefault="009F70FD" w:rsidP="00F16E02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center"/>
        <w:rPr>
          <w:sz w:val="28"/>
          <w:szCs w:val="28"/>
        </w:rPr>
      </w:pPr>
      <w:r w:rsidRPr="00F16E02">
        <w:rPr>
          <w:sz w:val="28"/>
          <w:szCs w:val="28"/>
        </w:rPr>
        <w:lastRenderedPageBreak/>
        <w:t>Признать призером (II место)</w:t>
      </w:r>
    </w:p>
    <w:p w:rsidR="009E50CA" w:rsidRDefault="009F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Конкурса кейсов работодателей «HR РОСТ»</w:t>
      </w:r>
    </w:p>
    <w:p w:rsidR="009E50CA" w:rsidRDefault="009E5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9E50CA" w:rsidRDefault="009E5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</w:p>
    <w:p w:rsidR="009E50CA" w:rsidRDefault="009F70FD" w:rsidP="00F16E0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Признать призером (III место)</w:t>
      </w:r>
    </w:p>
    <w:p w:rsidR="009E50CA" w:rsidRDefault="009F70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 кейсов работодателей «HR РОСТ» </w:t>
      </w:r>
    </w:p>
    <w:p w:rsidR="009E50CA" w:rsidRDefault="009E50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0" w:firstLine="0"/>
        <w:jc w:val="center"/>
        <w:rPr>
          <w:sz w:val="28"/>
          <w:szCs w:val="28"/>
        </w:rPr>
      </w:pP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(ФИО полностью)</w:t>
      </w:r>
    </w:p>
    <w:p w:rsidR="009E50CA" w:rsidRDefault="009F70FD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E50CA" w:rsidRDefault="009F70FD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(название работы)</w:t>
      </w:r>
    </w:p>
    <w:p w:rsidR="00F16E02" w:rsidRDefault="00F16E02">
      <w:pPr>
        <w:spacing w:after="0" w:line="360" w:lineRule="auto"/>
        <w:ind w:left="0" w:right="0" w:firstLine="709"/>
        <w:jc w:val="center"/>
        <w:rPr>
          <w:sz w:val="28"/>
          <w:szCs w:val="28"/>
        </w:rPr>
      </w:pPr>
      <w:bookmarkStart w:id="1" w:name="_GoBack"/>
      <w:bookmarkEnd w:id="1"/>
    </w:p>
    <w:tbl>
      <w:tblPr>
        <w:tblStyle w:val="af0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2126"/>
        <w:gridCol w:w="2835"/>
      </w:tblGrid>
      <w:tr w:rsidR="009E50CA">
        <w:trPr>
          <w:trHeight w:val="60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9E50CA">
        <w:trPr>
          <w:trHeight w:val="9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</w:tc>
      </w:tr>
      <w:tr w:rsidR="009E50CA">
        <w:trPr>
          <w:trHeight w:val="10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E50CA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  <w:tr w:rsidR="009E50CA">
        <w:trPr>
          <w:trHeight w:val="3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</w:tcMar>
            <w:vAlign w:val="bottom"/>
          </w:tcPr>
          <w:p w:rsidR="009E50CA" w:rsidRDefault="009F70FD">
            <w:pPr>
              <w:spacing w:line="360" w:lineRule="auto"/>
              <w:ind w:left="0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Ф.И.О.</w:t>
            </w:r>
          </w:p>
        </w:tc>
      </w:tr>
    </w:tbl>
    <w:p w:rsidR="009E50CA" w:rsidRDefault="009E50CA">
      <w:pPr>
        <w:spacing w:after="0" w:line="360" w:lineRule="auto"/>
        <w:ind w:left="0" w:right="0" w:firstLine="0"/>
        <w:rPr>
          <w:sz w:val="2"/>
          <w:szCs w:val="2"/>
        </w:rPr>
      </w:pPr>
    </w:p>
    <w:sectPr w:rsidR="009E50CA" w:rsidSect="001F6FCC">
      <w:headerReference w:type="default" r:id="rId13"/>
      <w:pgSz w:w="12235" w:h="21600"/>
      <w:pgMar w:top="1134" w:right="1134" w:bottom="1134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6" w:rsidRDefault="009F70FD">
      <w:pPr>
        <w:spacing w:after="0" w:line="240" w:lineRule="auto"/>
      </w:pPr>
      <w:r>
        <w:separator/>
      </w:r>
    </w:p>
  </w:endnote>
  <w:endnote w:type="continuationSeparator" w:id="0">
    <w:p w:rsidR="00F23D16" w:rsidRDefault="009F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6" w:rsidRDefault="009F70FD">
      <w:pPr>
        <w:spacing w:after="0" w:line="240" w:lineRule="auto"/>
      </w:pPr>
      <w:r>
        <w:separator/>
      </w:r>
    </w:p>
  </w:footnote>
  <w:footnote w:type="continuationSeparator" w:id="0">
    <w:p w:rsidR="00F23D16" w:rsidRDefault="009F70FD">
      <w:pPr>
        <w:spacing w:after="0" w:line="240" w:lineRule="auto"/>
      </w:pPr>
      <w:r>
        <w:continuationSeparator/>
      </w:r>
    </w:p>
  </w:footnote>
  <w:footnote w:id="1">
    <w:p w:rsidR="009E50CA" w:rsidRDefault="009F70FD">
      <w:pPr>
        <w:spacing w:after="0" w:line="240" w:lineRule="auto"/>
        <w:ind w:left="141" w:right="-232" w:firstLine="0"/>
        <w:rPr>
          <w:i/>
          <w:color w:val="0F0F0F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 </w:t>
      </w:r>
      <w:r>
        <w:rPr>
          <w:i/>
          <w:color w:val="0F0F0F"/>
          <w:sz w:val="18"/>
          <w:szCs w:val="18"/>
        </w:rPr>
        <w:t xml:space="preserve">Принять участие в конкурсе </w:t>
      </w:r>
      <w:r>
        <w:rPr>
          <w:i/>
          <w:sz w:val="18"/>
          <w:szCs w:val="18"/>
        </w:rPr>
        <w:t>кейсов работодателей «HR РОСТ»</w:t>
      </w:r>
      <w:r>
        <w:rPr>
          <w:i/>
          <w:color w:val="0F0F0F"/>
          <w:sz w:val="18"/>
          <w:szCs w:val="18"/>
        </w:rPr>
        <w:t xml:space="preserve"> можно либо весной, в первом пуле конкурса, либо осенью, во втором пуле конкурса. Первый пул конкурса состоится в апреле на площадке УрГЭУ в рамках Евразийского экономического форума молодёжи (ЕЭФМ).</w:t>
      </w:r>
    </w:p>
    <w:p w:rsidR="009E50CA" w:rsidRDefault="009E50CA">
      <w:pPr>
        <w:spacing w:after="0" w:line="240" w:lineRule="auto"/>
        <w:ind w:left="141" w:right="855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CA" w:rsidRDefault="009E50C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p w:rsidR="001F6FCC" w:rsidRDefault="001F6F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right="0" w:firstLine="0"/>
      <w:jc w:val="left"/>
      <w:rPr>
        <w:sz w:val="2"/>
        <w:szCs w:val="2"/>
      </w:rPr>
    </w:pPr>
  </w:p>
  <w:tbl>
    <w:tblPr>
      <w:tblW w:w="10269" w:type="dxa"/>
      <w:tblInd w:w="-30" w:type="dxa"/>
      <w:tblLayout w:type="fixed"/>
      <w:tblCellMar>
        <w:top w:w="48" w:type="dxa"/>
        <w:left w:w="115" w:type="dxa"/>
        <w:bottom w:w="7" w:type="dxa"/>
        <w:right w:w="133" w:type="dxa"/>
      </w:tblCellMar>
      <w:tblLook w:val="0000" w:firstRow="0" w:lastRow="0" w:firstColumn="0" w:lastColumn="0" w:noHBand="0" w:noVBand="0"/>
    </w:tblPr>
    <w:tblGrid>
      <w:gridCol w:w="1712"/>
      <w:gridCol w:w="7170"/>
      <w:gridCol w:w="1387"/>
    </w:tblGrid>
    <w:tr w:rsidR="00182EEB" w:rsidTr="00182EEB">
      <w:trPr>
        <w:trHeight w:val="362"/>
      </w:trPr>
      <w:tc>
        <w:tcPr>
          <w:tcW w:w="171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82EEB" w:rsidRDefault="00182EEB" w:rsidP="004D21FE">
          <w:pPr>
            <w:snapToGrid w:val="0"/>
            <w:spacing w:after="0" w:line="252" w:lineRule="auto"/>
            <w:ind w:left="0" w:right="0" w:firstLine="0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29294E0" wp14:editId="4C660926">
                <wp:extent cx="495300" cy="695325"/>
                <wp:effectExtent l="0" t="0" r="0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82EEB" w:rsidRDefault="00182EEB" w:rsidP="004D21FE">
          <w:pPr>
            <w:spacing w:after="23" w:line="252" w:lineRule="auto"/>
            <w:ind w:left="17" w:right="0" w:firstLine="0"/>
            <w:jc w:val="center"/>
            <w:rPr>
              <w:b/>
              <w:sz w:val="24"/>
              <w:szCs w:val="24"/>
            </w:rPr>
          </w:pPr>
        </w:p>
        <w:p w:rsidR="00182EEB" w:rsidRPr="00182EEB" w:rsidRDefault="00182EEB" w:rsidP="004D21FE">
          <w:pPr>
            <w:spacing w:after="23" w:line="252" w:lineRule="auto"/>
            <w:ind w:left="17" w:right="0" w:firstLine="0"/>
            <w:jc w:val="center"/>
            <w:rPr>
              <w:sz w:val="24"/>
              <w:szCs w:val="24"/>
            </w:rPr>
          </w:pPr>
          <w:r w:rsidRPr="00182EEB">
            <w:rPr>
              <w:b/>
              <w:sz w:val="24"/>
              <w:szCs w:val="24"/>
            </w:rPr>
            <w:t xml:space="preserve">ПОЛОЖЕНИЕ  </w:t>
          </w:r>
        </w:p>
        <w:p w:rsidR="00182EEB" w:rsidRPr="00182EEB" w:rsidRDefault="00182EEB" w:rsidP="00182EEB">
          <w:pPr>
            <w:spacing w:after="2" w:line="276" w:lineRule="auto"/>
            <w:ind w:left="-142" w:right="283" w:firstLine="0"/>
            <w:jc w:val="center"/>
            <w:rPr>
              <w:sz w:val="24"/>
              <w:szCs w:val="24"/>
            </w:rPr>
          </w:pPr>
          <w:r w:rsidRPr="00182EEB">
            <w:rPr>
              <w:b/>
              <w:bCs/>
              <w:color w:val="auto"/>
              <w:sz w:val="24"/>
              <w:szCs w:val="24"/>
            </w:rPr>
            <w:t xml:space="preserve">о </w:t>
          </w:r>
          <w:r w:rsidRPr="00182EEB">
            <w:rPr>
              <w:b/>
              <w:bCs/>
              <w:color w:val="auto"/>
              <w:sz w:val="24"/>
              <w:szCs w:val="24"/>
            </w:rPr>
            <w:t>Конкурсе кейсов работодателей «</w:t>
          </w:r>
          <w:r w:rsidRPr="00182EEB">
            <w:rPr>
              <w:b/>
              <w:bCs/>
              <w:color w:val="auto"/>
              <w:sz w:val="24"/>
              <w:szCs w:val="24"/>
              <w:lang w:val="en-US"/>
            </w:rPr>
            <w:t>HR</w:t>
          </w:r>
          <w:r w:rsidRPr="00182EEB">
            <w:rPr>
              <w:b/>
              <w:bCs/>
              <w:color w:val="auto"/>
              <w:sz w:val="24"/>
              <w:szCs w:val="24"/>
            </w:rPr>
            <w:t xml:space="preserve"> РОСТ»</w:t>
          </w:r>
        </w:p>
        <w:p w:rsidR="00182EEB" w:rsidRDefault="00182EEB" w:rsidP="004D21FE">
          <w:pPr>
            <w:spacing w:after="2" w:line="276" w:lineRule="auto"/>
            <w:ind w:left="-142" w:right="283" w:firstLine="0"/>
            <w:jc w:val="center"/>
          </w:pP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82EEB" w:rsidRDefault="00182EEB" w:rsidP="004D21FE">
          <w:pPr>
            <w:spacing w:after="20" w:line="252" w:lineRule="auto"/>
            <w:ind w:left="16" w:right="0" w:firstLine="0"/>
            <w:jc w:val="center"/>
          </w:pPr>
          <w:r>
            <w:t>Редакция 0</w:t>
          </w:r>
        </w:p>
      </w:tc>
    </w:tr>
    <w:tr w:rsidR="00182EEB" w:rsidTr="00182EEB">
      <w:trPr>
        <w:trHeight w:val="300"/>
      </w:trPr>
      <w:tc>
        <w:tcPr>
          <w:tcW w:w="171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182EEB" w:rsidRDefault="00182EEB" w:rsidP="004D21FE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71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182EEB" w:rsidRDefault="00182EEB" w:rsidP="004D21FE">
          <w:pPr>
            <w:snapToGrid w:val="0"/>
            <w:spacing w:after="160" w:line="252" w:lineRule="auto"/>
            <w:ind w:left="0" w:right="0" w:firstLine="0"/>
            <w:jc w:val="left"/>
            <w:rPr>
              <w:sz w:val="22"/>
            </w:rPr>
          </w:pPr>
        </w:p>
      </w:tc>
      <w:tc>
        <w:tcPr>
          <w:tcW w:w="13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182EEB" w:rsidRDefault="00182EEB" w:rsidP="004D21FE">
          <w:pPr>
            <w:spacing w:after="0" w:line="252" w:lineRule="auto"/>
            <w:ind w:left="19" w:right="0" w:firstLine="0"/>
          </w:pPr>
          <w:r>
            <w:t>стр.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16E0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NUMPAGES \* ARABIC </w:instrText>
          </w:r>
          <w:r>
            <w:rPr>
              <w:sz w:val="22"/>
            </w:rPr>
            <w:fldChar w:fldCharType="separate"/>
          </w:r>
          <w:r w:rsidR="00F16E02">
            <w:rPr>
              <w:noProof/>
              <w:sz w:val="22"/>
            </w:rPr>
            <w:t>13</w:t>
          </w:r>
          <w:r>
            <w:rPr>
              <w:sz w:val="22"/>
            </w:rPr>
            <w:fldChar w:fldCharType="end"/>
          </w:r>
          <w:r>
            <w:t xml:space="preserve"> </w:t>
          </w:r>
        </w:p>
      </w:tc>
    </w:tr>
  </w:tbl>
  <w:p w:rsidR="009E50CA" w:rsidRDefault="009E50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B90"/>
    <w:multiLevelType w:val="multilevel"/>
    <w:tmpl w:val="96B05A00"/>
    <w:lvl w:ilvl="0">
      <w:start w:val="1"/>
      <w:numFmt w:val="bullet"/>
      <w:lvlText w:val="­"/>
      <w:lvlJc w:val="left"/>
      <w:pPr>
        <w:ind w:left="36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1">
    <w:nsid w:val="35F07BE4"/>
    <w:multiLevelType w:val="multilevel"/>
    <w:tmpl w:val="4CF60538"/>
    <w:lvl w:ilvl="0">
      <w:start w:val="1"/>
      <w:numFmt w:val="decimal"/>
      <w:lvlText w:val="%1)"/>
      <w:lvlJc w:val="left"/>
      <w:pPr>
        <w:ind w:left="58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372A0A55"/>
    <w:multiLevelType w:val="multilevel"/>
    <w:tmpl w:val="3FAACCC2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3A5C1836"/>
    <w:multiLevelType w:val="multilevel"/>
    <w:tmpl w:val="1F402C9E"/>
    <w:lvl w:ilvl="0">
      <w:start w:val="1"/>
      <w:numFmt w:val="decimal"/>
      <w:lvlText w:val="%1)"/>
      <w:lvlJc w:val="left"/>
      <w:pPr>
        <w:ind w:left="58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>
    <w:nsid w:val="3B2B3148"/>
    <w:multiLevelType w:val="hybridMultilevel"/>
    <w:tmpl w:val="79509734"/>
    <w:lvl w:ilvl="0" w:tplc="11F667F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5F303F"/>
    <w:multiLevelType w:val="multilevel"/>
    <w:tmpl w:val="1548EE4C"/>
    <w:lvl w:ilvl="0">
      <w:start w:val="1"/>
      <w:numFmt w:val="bullet"/>
      <w:lvlText w:val="­"/>
      <w:lvlJc w:val="left"/>
      <w:pPr>
        <w:ind w:left="36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1080" w:firstLine="0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6">
    <w:nsid w:val="477051CF"/>
    <w:multiLevelType w:val="multilevel"/>
    <w:tmpl w:val="9176F7AC"/>
    <w:lvl w:ilvl="0">
      <w:start w:val="1"/>
      <w:numFmt w:val="bullet"/>
      <w:lvlText w:val="­"/>
      <w:lvlJc w:val="left"/>
      <w:pPr>
        <w:ind w:left="360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­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eastAsia="Noto Sans Symbols" w:hAnsi="Noto Sans Symbols" w:cs="Noto Sans Symbols"/>
      </w:rPr>
    </w:lvl>
  </w:abstractNum>
  <w:abstractNum w:abstractNumId="7">
    <w:nsid w:val="53006058"/>
    <w:multiLevelType w:val="multilevel"/>
    <w:tmpl w:val="C0AE4C12"/>
    <w:lvl w:ilvl="0">
      <w:start w:val="1"/>
      <w:numFmt w:val="bullet"/>
      <w:lvlText w:val="­"/>
      <w:lvlJc w:val="left"/>
      <w:pPr>
        <w:ind w:left="1114" w:firstLine="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34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4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4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4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4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4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4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4" w:firstLine="0"/>
      </w:pPr>
      <w:rPr>
        <w:rFonts w:ascii="Noto Sans Symbols" w:eastAsia="Noto Sans Symbols" w:hAnsi="Noto Sans Symbols" w:cs="Noto Sans Symbols"/>
      </w:rPr>
    </w:lvl>
  </w:abstractNum>
  <w:abstractNum w:abstractNumId="8">
    <w:nsid w:val="5B407583"/>
    <w:multiLevelType w:val="multilevel"/>
    <w:tmpl w:val="CEA40608"/>
    <w:lvl w:ilvl="0">
      <w:start w:val="1"/>
      <w:numFmt w:val="decimal"/>
      <w:lvlText w:val="%1)"/>
      <w:lvlJc w:val="left"/>
      <w:pPr>
        <w:ind w:left="1213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5F2E22F1"/>
    <w:multiLevelType w:val="multilevel"/>
    <w:tmpl w:val="6E680274"/>
    <w:lvl w:ilvl="0">
      <w:start w:val="5"/>
      <w:numFmt w:val="decimal"/>
      <w:lvlText w:val="%1."/>
      <w:lvlJc w:val="left"/>
      <w:pPr>
        <w:ind w:left="175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470" w:firstLine="0"/>
      </w:pPr>
    </w:lvl>
    <w:lvl w:ilvl="2">
      <w:start w:val="1"/>
      <w:numFmt w:val="lowerRoman"/>
      <w:lvlText w:val="%3."/>
      <w:lvlJc w:val="left"/>
      <w:pPr>
        <w:ind w:left="3370" w:firstLine="0"/>
      </w:pPr>
    </w:lvl>
    <w:lvl w:ilvl="3">
      <w:start w:val="1"/>
      <w:numFmt w:val="decimal"/>
      <w:lvlText w:val="%4."/>
      <w:lvlJc w:val="left"/>
      <w:pPr>
        <w:ind w:left="3910" w:firstLine="0"/>
      </w:pPr>
    </w:lvl>
    <w:lvl w:ilvl="4">
      <w:start w:val="1"/>
      <w:numFmt w:val="lowerLetter"/>
      <w:lvlText w:val="%5."/>
      <w:lvlJc w:val="left"/>
      <w:pPr>
        <w:ind w:left="4630" w:firstLine="0"/>
      </w:pPr>
    </w:lvl>
    <w:lvl w:ilvl="5">
      <w:start w:val="1"/>
      <w:numFmt w:val="lowerRoman"/>
      <w:lvlText w:val="%6."/>
      <w:lvlJc w:val="left"/>
      <w:pPr>
        <w:ind w:left="5530" w:firstLine="0"/>
      </w:pPr>
    </w:lvl>
    <w:lvl w:ilvl="6">
      <w:start w:val="1"/>
      <w:numFmt w:val="decimal"/>
      <w:lvlText w:val="%7."/>
      <w:lvlJc w:val="left"/>
      <w:pPr>
        <w:ind w:left="6070" w:firstLine="0"/>
      </w:pPr>
    </w:lvl>
    <w:lvl w:ilvl="7">
      <w:start w:val="1"/>
      <w:numFmt w:val="lowerLetter"/>
      <w:lvlText w:val="%8."/>
      <w:lvlJc w:val="left"/>
      <w:pPr>
        <w:ind w:left="6790" w:firstLine="0"/>
      </w:pPr>
    </w:lvl>
    <w:lvl w:ilvl="8">
      <w:start w:val="1"/>
      <w:numFmt w:val="lowerRoman"/>
      <w:lvlText w:val="%9."/>
      <w:lvlJc w:val="left"/>
      <w:pPr>
        <w:ind w:left="7690" w:firstLine="0"/>
      </w:pPr>
    </w:lvl>
  </w:abstractNum>
  <w:abstractNum w:abstractNumId="10">
    <w:nsid w:val="6AC71372"/>
    <w:multiLevelType w:val="multilevel"/>
    <w:tmpl w:val="45923EB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9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1">
    <w:nsid w:val="7C9C2E65"/>
    <w:multiLevelType w:val="multilevel"/>
    <w:tmpl w:val="19122570"/>
    <w:lvl w:ilvl="0">
      <w:start w:val="1"/>
      <w:numFmt w:val="decimal"/>
      <w:lvlText w:val="%1)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CA"/>
    <w:rsid w:val="00182EEB"/>
    <w:rsid w:val="001F6FCC"/>
    <w:rsid w:val="009E50CA"/>
    <w:rsid w:val="009F70FD"/>
    <w:rsid w:val="00F16E02"/>
    <w:rsid w:val="00F2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4" w:line="271" w:lineRule="auto"/>
        <w:ind w:left="6310" w:right="175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</w:rPr>
  </w:style>
  <w:style w:type="paragraph" w:styleId="2">
    <w:name w:val="heading 2"/>
    <w:next w:val="a"/>
    <w:qFormat/>
    <w:pPr>
      <w:keepNext/>
      <w:keepLines/>
      <w:spacing w:after="339" w:line="264" w:lineRule="auto"/>
      <w:ind w:left="61" w:right="0"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color w:val="000000"/>
      <w:sz w:val="22"/>
    </w:rPr>
  </w:style>
  <w:style w:type="character" w:styleId="a5">
    <w:name w:val="Hyperlink"/>
    <w:rPr>
      <w:color w:val="0000FF"/>
      <w:u w:val="singl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25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C9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footer"/>
    <w:basedOn w:val="a"/>
    <w:link w:val="a9"/>
    <w:uiPriority w:val="99"/>
    <w:rsid w:val="0025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C9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1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F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4" w:line="271" w:lineRule="auto"/>
        <w:ind w:left="6310" w:right="1752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next w:val="a"/>
    <w:qFormat/>
    <w:pPr>
      <w:keepNext/>
      <w:keepLines/>
      <w:spacing w:after="187" w:line="259" w:lineRule="auto"/>
      <w:ind w:left="0" w:right="79" w:firstLine="0"/>
      <w:jc w:val="center"/>
      <w:outlineLvl w:val="0"/>
    </w:pPr>
    <w:rPr>
      <w:color w:val="000000"/>
      <w:sz w:val="26"/>
    </w:rPr>
  </w:style>
  <w:style w:type="paragraph" w:styleId="2">
    <w:name w:val="heading 2"/>
    <w:next w:val="a"/>
    <w:qFormat/>
    <w:pPr>
      <w:keepNext/>
      <w:keepLines/>
      <w:spacing w:after="339" w:line="264" w:lineRule="auto"/>
      <w:ind w:left="61" w:right="0"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color w:val="000000"/>
      <w:sz w:val="22"/>
    </w:rPr>
  </w:style>
  <w:style w:type="character" w:styleId="a5">
    <w:name w:val="Hyperlink"/>
    <w:rPr>
      <w:color w:val="0000FF"/>
      <w:u w:val="singl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25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6C9"/>
    <w:rPr>
      <w:rFonts w:ascii="Times New Roman" w:eastAsia="Times New Roman" w:hAnsi="Times New Roman" w:cs="Times New Roman"/>
      <w:color w:val="000000"/>
      <w:sz w:val="20"/>
    </w:rPr>
  </w:style>
  <w:style w:type="paragraph" w:styleId="a8">
    <w:name w:val="footer"/>
    <w:basedOn w:val="a"/>
    <w:link w:val="a9"/>
    <w:uiPriority w:val="99"/>
    <w:rsid w:val="0025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6C9"/>
    <w:rPr>
      <w:rFonts w:ascii="Times New Roman" w:eastAsia="Times New Roman" w:hAnsi="Times New Roman" w:cs="Times New Roman"/>
      <w:color w:val="000000"/>
      <w:sz w:val="2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af2">
    <w:name w:val="Balloon Text"/>
    <w:basedOn w:val="a"/>
    <w:link w:val="af3"/>
    <w:uiPriority w:val="99"/>
    <w:semiHidden/>
    <w:unhideWhenUsed/>
    <w:rsid w:val="001F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6F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asia-foru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AsMZBJjXWNABWnoqrmFZNBRq9g==">AMUW2mXpHT638Il52qFmUfC6UOVq3MZL2CrVbhbgE62Quhi1wNayFXfPmgLMm1JzJr9UWt9sM8tpOERN5Mq9VDVi5OrvxNTQEc/uAOF6NA3wSBUYpaheTweBkE5c5TeM7eizRevUfIDd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Патутина Светлана Юрьевна</dc:creator>
  <cp:lastModifiedBy>Корабельщикова Ольга Леонидовна</cp:lastModifiedBy>
  <cp:revision>3</cp:revision>
  <dcterms:created xsi:type="dcterms:W3CDTF">2021-01-28T03:51:00Z</dcterms:created>
  <dcterms:modified xsi:type="dcterms:W3CDTF">2021-01-28T05:30:00Z</dcterms:modified>
</cp:coreProperties>
</file>